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6"/>
          <w:szCs w:val="26"/>
          <w:rtl w:val="0"/>
        </w:rPr>
        <w:t xml:space="preserve">Sponsoring FILFOIE - Congrès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i w:val="1"/>
          <w:iCs w:val="1"/>
          <w:color w:val="003662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Financement des orateurs intervenant dans des congrès avec des topos dédiés aux maladies rares du foie situées dans le périmètre des maladies rares de la filière FILFOIE.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i w:val="1"/>
          <w:iCs w:val="1"/>
          <w:color w:val="0036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/>
        <w:ind w:left="720" w:hanging="360"/>
        <w:rPr>
          <w:rFonts w:ascii="Poppins" w:cs="Poppins" w:eastAsia="Poppins" w:hAnsi="Poppins"/>
          <w:b w:val="1"/>
          <w:bCs w:val="1"/>
          <w:color w:val="003662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4"/>
          <w:szCs w:val="24"/>
          <w:rtl w:val="0"/>
        </w:rPr>
        <w:t xml:space="preserve">FICHE DE DEMANDE DE FINANCEMENT (à remplir par le candidat)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440" w:right="0" w:hanging="360"/>
        <w:jc w:val="left"/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4"/>
          <w:szCs w:val="24"/>
          <w:rtl w:val="0"/>
        </w:rPr>
        <w:t xml:space="preserve">Informations sur le demandeur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Nom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Prénom 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 de naissance 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Titre / Fonction 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Établissement / Centre 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Téléphone 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Email :</w:t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ind w:left="1440" w:hanging="360"/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4"/>
          <w:szCs w:val="24"/>
          <w:rtl w:val="0"/>
        </w:rPr>
        <w:t xml:space="preserve">Congrès concerné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Nom du congrès 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Organisateur 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Lieu (ville, pays) 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ind w:left="1440" w:hanging="360"/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4"/>
          <w:szCs w:val="24"/>
          <w:rtl w:val="0"/>
        </w:rPr>
        <w:t xml:space="preserve">Intervention proposée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Titre du topo 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Format (communication orale, symposium, session invitée, etc.) 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 et horaire de l’intervention (si connus) :</w:t>
      </w:r>
    </w:p>
    <w:p w:rsidR="00000000" w:rsidDel="00000000" w:rsidP="00000000" w:rsidRDefault="00000000" w:rsidRPr="00000000" w14:paraId="00000018">
      <w:pPr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0"/>
        </w:numPr>
        <w:ind w:left="1440" w:hanging="360"/>
        <w:rPr>
          <w:rFonts w:ascii="Poppins" w:cs="Poppins" w:eastAsia="Poppins" w:hAnsi="Poppins"/>
          <w:b w:val="1"/>
          <w:bCs w:val="1"/>
          <w:color w:val="003662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4"/>
          <w:szCs w:val="24"/>
          <w:rtl w:val="0"/>
        </w:rPr>
        <w:t xml:space="preserve">Budget prévisionnel</w:t>
      </w:r>
    </w:p>
    <w:p w:rsidR="00000000" w:rsidDel="00000000" w:rsidP="00000000" w:rsidRDefault="00000000" w:rsidRPr="00000000" w14:paraId="0000001A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Transport aller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Gare/Aéroport concernés 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 et heure souhaitées 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Numéro de carte abonnement (si existante) :</w:t>
      </w:r>
    </w:p>
    <w:p w:rsidR="00000000" w:rsidDel="00000000" w:rsidP="00000000" w:rsidRDefault="00000000" w:rsidRPr="00000000" w14:paraId="0000001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Hébergement (nb de nuits)</w:t>
        <w:tab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Hôtel souhaité (Nom et adresse) 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 d’arrivée et de fin :</w:t>
      </w:r>
    </w:p>
    <w:p w:rsidR="00000000" w:rsidDel="00000000" w:rsidP="00000000" w:rsidRDefault="00000000" w:rsidRPr="00000000" w14:paraId="00000022">
      <w:pPr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b w:val="1"/>
          <w:bCs w:val="1"/>
          <w:color w:val="00366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3662"/>
          <w:sz w:val="24"/>
          <w:szCs w:val="24"/>
          <w:rtl w:val="0"/>
        </w:rPr>
        <w:t xml:space="preserve">MODALITÉS DE FINANCEMENT</w:t>
      </w:r>
    </w:p>
    <w:p w:rsidR="00000000" w:rsidDel="00000000" w:rsidP="00000000" w:rsidRDefault="00000000" w:rsidRPr="00000000" w14:paraId="00000024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Bénéficiaires éligibles : médecins, chercheurs, professionnels de santé, associations de patients invités comme orateurs sur des thématiques liées aux maladies rares du foie,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dans le périmètre des maladies rares de la filière FILFOIE.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Dépenses éligibles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Frais d’inscription au congrès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Frais de transport (classe économique)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Frais d’hébergement (tarifs standards, nombre de nuits encadrant les dates du congrès)</w:t>
      </w:r>
    </w:p>
    <w:p w:rsidR="00000000" w:rsidDel="00000000" w:rsidP="00000000" w:rsidRDefault="00000000" w:rsidRPr="00000000" w14:paraId="0000002A">
      <w:pPr>
        <w:rPr>
          <w:rFonts w:ascii="Poppins" w:cs="Poppins" w:eastAsia="Poppins" w:hAnsi="Poppins"/>
          <w:i w:val="1"/>
          <w:iCs w:val="1"/>
          <w:color w:val="0036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Modalités de versement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720" w:hanging="360"/>
        <w:rPr>
          <w:rFonts w:ascii="Poppins" w:cs="Poppins" w:eastAsia="Poppins" w:hAnsi="Poppins"/>
          <w:b w:val="1"/>
          <w:bCs w:val="1"/>
          <w:color w:val="ff000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0000"/>
          <w:rtl w:val="0"/>
        </w:rPr>
        <w:t xml:space="preserve">Remboursement sur justificatifs non possibles.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b w:val="1"/>
          <w:bCs w:val="1"/>
          <w:color w:val="ff000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0000"/>
          <w:rtl w:val="0"/>
        </w:rPr>
        <w:t xml:space="preserve">La filière doit obligatoirement prendre en charge en amont les frais concernés et effectuer les réservations.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Poppins" w:cs="Poppins" w:eastAsia="Poppins" w:hAnsi="Poppins"/>
          <w:i w:val="1"/>
          <w:iCs w:val="1"/>
          <w:color w:val="003662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Critères de sélection 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Pertinence scientifique du topo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Lien direct avec les maladies rares du foie situées dans le périmètre des pathologies de la filière FILFOIE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Rayonnement du congrès (national / international)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Adéquation du budget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Poppins" w:cs="Poppins" w:eastAsia="Poppins" w:hAnsi="Poppins"/>
          <w:i w:val="1"/>
          <w:iCs w:val="1"/>
          <w:color w:val="003662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Pour toute question, contactez la filière à l’adresse suivante : 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003662"/>
          <w:rtl w:val="0"/>
        </w:rPr>
        <w:t xml:space="preserve">contact.filfoie@aphp.fr</w:t>
      </w:r>
    </w:p>
    <w:sectPr>
      <w:headerReference r:id="rId7" w:type="default"/>
      <w:pgSz w:h="16838" w:w="11906" w:orient="portrait"/>
      <w:pgMar w:bottom="1417" w:top="1417" w:left="1417" w:right="141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294765" cy="49784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4765" cy="497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  <w:ind w:left="720" w:hanging="360"/>
    </w:pPr>
    <w:rPr>
      <w:rFonts w:ascii="Poppins" w:cs="Poppins" w:eastAsia="Poppins" w:hAnsi="Poppins"/>
      <w:b w:val="1"/>
      <w:bCs w:val="1"/>
      <w:color w:val="003662"/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phedeliste">
    <w:name w:val="List Paragraph"/>
    <w:basedOn w:val="Normal"/>
    <w:uiPriority w:val="34"/>
    <w:qFormat w:val="1"/>
    <w:rsid w:val="000F65AF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 w:val="1"/>
    <w:rsid w:val="006F56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6F5611"/>
    <w:rPr>
      <w:color w:val="605e5c"/>
      <w:shd w:color="auto" w:fill="e1dfdd" w:val="clear"/>
    </w:rPr>
  </w:style>
  <w:style w:type="character" w:styleId="Titre1Car" w:customStyle="1">
    <w:name w:val="Titre 1 Car"/>
    <w:basedOn w:val="Policepardfaut"/>
    <w:uiPriority w:val="9"/>
    <w:rsid w:val="00EA74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En-ttedetabledesmatires">
    <w:name w:val="TOC Heading"/>
    <w:next w:val="Normal"/>
    <w:uiPriority w:val="39"/>
    <w:unhideWhenUsed w:val="1"/>
    <w:qFormat w:val="1"/>
    <w:rsid w:val="00EA7475"/>
  </w:style>
  <w:style w:type="paragraph" w:styleId="TM1">
    <w:name w:val="toc 1"/>
    <w:basedOn w:val="Normal"/>
    <w:next w:val="Normal"/>
    <w:autoRedefine w:val="1"/>
    <w:uiPriority w:val="39"/>
    <w:unhideWhenUsed w:val="1"/>
    <w:rsid w:val="00EA7475"/>
    <w:pPr>
      <w:spacing w:after="100"/>
    </w:pPr>
  </w:style>
  <w:style w:type="paragraph" w:styleId="Listepuces2">
    <w:name w:val="List Bullet 2"/>
    <w:basedOn w:val="Normal"/>
    <w:uiPriority w:val="99"/>
    <w:unhideWhenUsed w:val="1"/>
    <w:rsid w:val="00815C3C"/>
    <w:pPr>
      <w:spacing w:after="200" w:line="276" w:lineRule="auto"/>
      <w:contextualSpacing w:val="1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6E17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 w:val="1"/>
    <w:rsid w:val="0017698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7698E"/>
  </w:style>
  <w:style w:type="paragraph" w:styleId="Pieddepage">
    <w:name w:val="footer"/>
    <w:basedOn w:val="Normal"/>
    <w:link w:val="PieddepageCar"/>
    <w:uiPriority w:val="99"/>
    <w:unhideWhenUsed w:val="1"/>
    <w:rsid w:val="0017698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769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4IP04YNaf9Hd5Qxo1d2917ECw==">CgMxLjA4AHIhMVA2SzJPQ2lZdXVtRTREYXhTOXB2WEVub3pDcFFlUnQ3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2025-06-20T12:50:00Z</dcterms:created>
  <dc:creator>DE FREITAS Anais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0x01010042B950DFCCEBC7428E4F88D2BCA71966</vt:lpwstr>
  </property>
</Properties>
</file>